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2A" w:rsidRDefault="00D50D2A" w:rsidP="00D50D2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Z</w:t>
      </w:r>
      <w:r w:rsidRPr="00234B07">
        <w:rPr>
          <w:rFonts w:ascii="Times New Roman" w:hAnsi="Times New Roman"/>
          <w:sz w:val="22"/>
          <w:szCs w:val="22"/>
        </w:rPr>
        <w:t xml:space="preserve">ałącznik </w:t>
      </w:r>
      <w:r>
        <w:rPr>
          <w:rFonts w:ascii="Times New Roman" w:hAnsi="Times New Roman"/>
          <w:sz w:val="22"/>
          <w:szCs w:val="22"/>
        </w:rPr>
        <w:t>B.29.</w:t>
      </w:r>
    </w:p>
    <w:p w:rsidR="00D50D2A" w:rsidRPr="00F00B59" w:rsidRDefault="00D50D2A" w:rsidP="00D50D2A">
      <w:pPr>
        <w:rPr>
          <w:rFonts w:ascii="Times New Roman" w:hAnsi="Times New Roman"/>
          <w:sz w:val="22"/>
          <w:szCs w:val="22"/>
        </w:rPr>
      </w:pPr>
    </w:p>
    <w:p w:rsidR="00D50D2A" w:rsidRPr="00C85C84" w:rsidRDefault="00D50D2A" w:rsidP="00D50D2A">
      <w:pPr>
        <w:spacing w:after="240"/>
        <w:rPr>
          <w:rFonts w:cs="Arial"/>
          <w:b/>
        </w:rPr>
      </w:pPr>
      <w:r w:rsidRPr="00F00B59">
        <w:rPr>
          <w:rFonts w:ascii="Times New Roman" w:hAnsi="Times New Roman"/>
          <w:b/>
          <w:sz w:val="28"/>
          <w:szCs w:val="28"/>
        </w:rPr>
        <w:t>LECZENIE STWA</w:t>
      </w:r>
      <w:r>
        <w:rPr>
          <w:rFonts w:ascii="Times New Roman" w:hAnsi="Times New Roman"/>
          <w:b/>
          <w:sz w:val="28"/>
          <w:szCs w:val="28"/>
        </w:rPr>
        <w:t xml:space="preserve">RDNIENIA ROZSIANEGO  (ICD-10 </w:t>
      </w:r>
      <w:r w:rsidRPr="00F00B59">
        <w:rPr>
          <w:rFonts w:ascii="Times New Roman" w:hAnsi="Times New Roman"/>
          <w:b/>
          <w:sz w:val="28"/>
          <w:szCs w:val="28"/>
        </w:rPr>
        <w:t>G 35)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5"/>
        <w:gridCol w:w="4847"/>
        <w:gridCol w:w="5352"/>
      </w:tblGrid>
      <w:tr w:rsidR="00D50D2A" w:rsidRPr="00F00B59" w:rsidTr="00B54D75">
        <w:trPr>
          <w:trHeight w:val="397"/>
        </w:trPr>
        <w:tc>
          <w:tcPr>
            <w:tcW w:w="5000" w:type="pct"/>
            <w:gridSpan w:val="3"/>
            <w:vAlign w:val="center"/>
          </w:tcPr>
          <w:p w:rsidR="00D50D2A" w:rsidRPr="00F00B5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50D2A" w:rsidRPr="00F00B59" w:rsidTr="00B54D75">
        <w:tc>
          <w:tcPr>
            <w:tcW w:w="1734" w:type="pct"/>
            <w:vAlign w:val="center"/>
          </w:tcPr>
          <w:p w:rsidR="00D50D2A" w:rsidRPr="00F00B5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552" w:type="pct"/>
            <w:vAlign w:val="center"/>
          </w:tcPr>
          <w:p w:rsidR="00D50D2A" w:rsidRPr="00F00B5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 xml:space="preserve">SCHEMAT DAWKOWANIA LEKÓW </w:t>
            </w:r>
            <w:r w:rsidRPr="00F00B59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vAlign w:val="center"/>
          </w:tcPr>
          <w:p w:rsidR="00D50D2A" w:rsidRPr="00F00B5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BADANIA DIAGNOSTYCZNE WYKONYWANE W  RAMACH PROGRAMU</w:t>
            </w:r>
          </w:p>
        </w:tc>
      </w:tr>
      <w:tr w:rsidR="00D50D2A" w:rsidRPr="00F00B59" w:rsidTr="00B54D75">
        <w:tc>
          <w:tcPr>
            <w:tcW w:w="1734" w:type="pct"/>
          </w:tcPr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 xml:space="preserve">1. Kryteria kwalifikacji: </w:t>
            </w: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Leczenie interferonem beta: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po podaniu  kontrastu;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rozpoznania postaci rzutowej stwardnienia rozsianego, wystąpienie minimum 1 rzutu klinicznego albo co najmniej 1 nowe ognisko GD+ w okresie 12 miesięcy przed kwalifikacją;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co najmniej 10  punktów według punktowego systemu kwalifikacji określonego w ust. 3;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Leczenie octanem glatirameru: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rozpoznanie postaci rzutowej stwardnienia rozsianego – oparte na kryteriach diagnostycznych McDonalda (2010), łącznie z badaniami rezonansem magnetycznym, przed  i po podaniu kontrastu;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 xml:space="preserve">w przypadku rozpoznania postaci rzutowej stwardnienia rozsianego, wystąpienie minimum 1 rzutu klinicznego albo co najmniej 1 nowe ognisko GD+ w okresie 12 miesięcy </w:t>
            </w:r>
            <w:r w:rsidRPr="00F0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 kwalifikacją;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co najmniej 10  punktów według punktowego systemu kwalifikacji określonego w ust. 3;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pisemna deklaracja współpracy przy realizacji programu ze strony pielęgniarki.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 Leczenie fumaranem dimetylu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wiek od 18 roku życia;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rozpoznanie postaci rzutowej stwardnienia rozsianego – oparte na kryteriach diagnostycznych McDonalda(2010), łącznie z badaniami rezonansem magnetycznym, przed  i po podaniu kontrastu;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co najmniej 10  punktów według punktowego systemu kwalifikacji określonego w ust. 3;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pisemna deklaracja współpracy przy realizacji programu ze strony pielęgniarki.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Leczenie peginterferonem beta-1a: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 od 18 roku życia;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po podaniu  kontrastu;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uzyskanie co najmniej 10  punktów według punktowego systemu kwalifikacji określonego w ust. 3;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Dopuszcza się zamiany leków pierwszej linii w  przypadku wystąpienia objawów niepożądanych lub częściowej nieskuteczności terapii definiowanej jako wystąpienie jednego z kryteriów wymienionych w punkcie 5.1.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programu włączane są, bez konieczności ponownej kwalifikacji, pacjentki wyłączone z programu w związku z ciążą, które w momencie wyłączenia spełniały pozostałe kryteria przedłużenia leczenia.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 Kryteria uniemożliwiające włączenie do programu: 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Przeciwwskazaniem do stosowania interferonów beta jest wystąpienie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jednego z poniższych przeciwwskazań: 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nadwrażliwość na interferon beta;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pierwotnie lub wtórnie postępująca postać choroby; 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zdekompensowana niewydolność wątroby (enzymy wątrobowe 2 razy lub więcej powyżej normy);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czynności tarczycy (bez eutyreozy);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depresja nie poddająca się leczeniu;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próby samobójcze;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padaczka z wyłączeniem napadów, które u dzieci i  młodzieży wystąpiły w czasie rzutu stwardnienia rozsianego;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leukopenia poniżej 3000/µl;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istotna klinicznie niedokrwistość;</w:t>
            </w:r>
          </w:p>
          <w:p w:rsidR="00D50D2A" w:rsidRPr="00F00B5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ciąża;</w:t>
            </w:r>
          </w:p>
          <w:p w:rsidR="00D50D2A" w:rsidRPr="00F00B59" w:rsidRDefault="00D50D2A" w:rsidP="00B54D75">
            <w:pPr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inne przeciwwskazania wymienione w Charakterystyce Produktu Leczniczego.</w:t>
            </w:r>
          </w:p>
          <w:p w:rsidR="00D50D2A" w:rsidRPr="00F00B59" w:rsidRDefault="00D50D2A" w:rsidP="00B54D75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  <w:b/>
              </w:rPr>
              <w:t>2.2.</w:t>
            </w:r>
            <w:r w:rsidRPr="00F00B59">
              <w:rPr>
                <w:rFonts w:ascii="Times New Roman" w:hAnsi="Times New Roman"/>
              </w:rPr>
              <w:t xml:space="preserve"> Przeciwwskazaniem do stosowania octanu glatirameru jest wystąpienie przynajmniej jednego z poniższych przeciwskazań: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nadwrażliwość na octan glatirameru lub mannitol;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pierwotnie lub wtórnie postępująca postać choroby;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ciąża;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inne przeciwwskazania wymienione w Charakterystyce Produktu Leczniczego.</w:t>
            </w:r>
          </w:p>
          <w:p w:rsidR="00D50D2A" w:rsidRPr="00F00B59" w:rsidRDefault="00D50D2A" w:rsidP="00B54D75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2. 3.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Przeciwwskazaniem do stosowania fumaranu dimetylu jest wystąpienie przynajmniej jednego z poniższych przeciwskazań:</w:t>
            </w:r>
          </w:p>
          <w:p w:rsidR="00D50D2A" w:rsidRPr="00F00B5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nadwrażliwość na </w:t>
            </w:r>
            <w:r>
              <w:rPr>
                <w:rFonts w:ascii="Times New Roman" w:hAnsi="Times New Roman"/>
              </w:rPr>
              <w:t>fumaran dimetylu lub substancje pomocnicze</w:t>
            </w:r>
            <w:r w:rsidRPr="00F00B59">
              <w:rPr>
                <w:rFonts w:ascii="Times New Roman" w:hAnsi="Times New Roman"/>
              </w:rPr>
              <w:t>;</w:t>
            </w:r>
          </w:p>
          <w:p w:rsidR="00D50D2A" w:rsidRPr="00F00B5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pierwotnie lub wtórnie postępująca postać choroby;</w:t>
            </w:r>
          </w:p>
          <w:p w:rsidR="00D50D2A" w:rsidRPr="00F00B5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ciąża;</w:t>
            </w:r>
          </w:p>
          <w:p w:rsidR="00D50D2A" w:rsidRPr="00F00B5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inne przeciwwskazania wymienione w Charakterystyce Produktu Leczniczego.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64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  <w:b/>
              </w:rPr>
              <w:t>2.4</w:t>
            </w:r>
            <w:r w:rsidRPr="00F00B59">
              <w:rPr>
                <w:rFonts w:ascii="Times New Roman" w:hAnsi="Times New Roman"/>
              </w:rPr>
              <w:t xml:space="preserve">  Przeciwwskazaniem do stosowania peginterferonu beta -1a jest wystąpienie przynajmniej jednego z poniższych przeciwskazań: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nadwrażliwość na naturalny lub rekombinowany interferon beta, lub peginterferon, 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rozpoczęcie leczenia u kobiet w ciąży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aktualnie ciężkie zaburzenia depresyjne i (lub) myśli samobójcze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przeciwwskazania wymienione w Charakterystyce Produktu Leczniczego.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pierwotnie lub wtórnie postępująca postać choroby</w:t>
            </w:r>
          </w:p>
          <w:p w:rsidR="00D50D2A" w:rsidRPr="00F00B59" w:rsidRDefault="00D50D2A" w:rsidP="00B54D75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Punktowy system kwalifikacji do leczenia stwardnienia rozsianego interferonem beta, peginterferonem beta-1a,</w:t>
            </w:r>
            <w:r w:rsidRPr="00F00B59" w:rsidDel="007566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octanem glatirameru i fumaranem dimetylu: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czas trwania choroby: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0 do 3 lat - 6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3 do 6 lat - 4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6 lat - 2 pkt.;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liczba rzutów choroby w ostatnim roku: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i więcej - 5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1 do 2 - 4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rzutów w trakcie leczenia immunomodulacyjnego (w ostatnim roku) - 3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rzutów</w:t>
            </w:r>
            <w:r w:rsidRPr="00F00B59" w:rsidDel="00FE2F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 pkt;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stan neurologiczny w okresie międzyrzutowym (przy  rozpoczynaniu leczenia):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0 do 2 - 6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2,5 do 4 - 5 pkt.,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4,5 do 5 - 2 pkt.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Leczenie interferonem beta: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interferon beta - ostre reakcje nadwrażliwości (wstrząs anafilaktyczny, skurcz oskrzeli, pokrzywka);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przejście w postać wtórnie postępującą- pogorszenie w skali EDSS o 1 pkt w ciągu 12 miesięcy nie związane z aktywnością rzutową;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 kliniczny chorego oceniany w trakcie badania kontrolnego w skali EDSS powyżej 4,5 (w trakcie remisji);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ciąża;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zdekompensowana niewydolność wątroby (enzymy wątrobowe 5 razy lub więcej powyżej normy potwierdzone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badaniem kontrolnym i utrzymujące się pomimo modyfikacji leczenia);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czynności tarczycy (bez eutyreozy);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istotne klinicznie zmiany skórne;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zmiana parametrów krwi w następującym zakresie: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stężenie hemoglobiny poniżej 9 g/dl,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leukopenia poniżej 3000/µl,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limfopenia poniżej 1000/µl,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trombocytopenia poniżej 75000/µl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potwierdzone badaniem kontrolnym i utrzymujące się pomimo modyfikacji leczenia;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depresja niepoddająca się leczeniu;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padaczka, z wyłączeniem napadów występujących u  dzieci i młodzieży jako objaw rzutu stwardnienia rozsianego;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pojawienie się innych przeciwwskazań wymienionych w Charakterystyce Produktu Leczniczego.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Leczenie octanem glatirameru: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octan glatirameru lub mannitol;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przejście w postać wtórnie postępującą - pogorszenie w  skali EDSS o 1 pkt w ciągu 12 miesięcy nie związane z aktywnością rzutową;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 kliniczny chorego oceniany w trakcie badania kontrolnego w skali EDSS powyżej 4,5 (w trakcie remisji);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istotne klinicznie zmiany skórne;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ciąża;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innych przeciwwskazań wymienionych w Charakterystyce Produktu Leczniczego.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4.3 Leczenie fumaranem dimetylu: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fumaran dimetylu lub substancje pomocnicze;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przejście w postać wtórnie postępującą- pogorszenie w skali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EDSS o 1 pkt w ciągu 12 miesięcy nie związane z aktywnością rzutową;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 kliniczny chorego oceniany w trakcie badania kontrolnego w skali EDSS powyżej 4,5 (w trakcie remisji);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ciąża.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innych przeciwwskazań wymienionych w Charakterystyce Produktu Leczniczego.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 Leczenie peginterferonem beta-1a: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nadwrażliwość na naturalny lub rekombinowany interferon beta lub peginterferon albo na którąkolwiek substancję pomocniczą;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2) przejście w postać wtórnie postępującą- pogorszenie w skali EDSS o 1 pkt w ciągu 12 miesięcy nie związane z aktywnością rzutową;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stan kliniczny chorego oceniany w trakcie badania kontrolnego w skali EDSS powyżej 4,5 (w trakcie remisji);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5) ciąża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 aktualnie ciężkie zaburzenia depresyjne i (lub) myśli samobójcze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 pojawienie się innych przeciwwskazań wymienionych w Charakterystyce Produktu Leczniczego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5. Określenie czasu leczenia w programie: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5.1.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12 miesiącach trwania leczenia dokonuje się oceny skuteczności leczenia.  Za brak skuteczności wymagający zmiany leczenia przyjmuje się wystąpienie obu poniższych sytuacji: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liczba i ciężkość rzutów: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lub więcej rzutów  umiarkowanych (wzrost EDSS o 1 do 2 pkt. w zakresie jednego lub dwóch układów funkcjonalnych lub o 1 pkt w czterech lub większej liczbie układów funkcjonalnych) lub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 ciężki rzut po pierwszych 6 miesiącach (wzrost w  EDSS większy niż w definicji rzutu umiarkowanego tj. powyżej 2 pkt.)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zmiany w badaniu rezonansu magnetycznego, gdy stwierdza się jedno z poniższych: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więcej niż jedna nowa zmiana Gd (+),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więcej niż dwie nowe zmiany w sekwencji T2.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5.2. Kryteria kontynuacji leczenia: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interferonem beta, peginterferonem beta-1a,</w:t>
            </w:r>
            <w:r w:rsidRPr="00F00B59" w:rsidDel="007566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octanem glatirameru lub fumaranem dimetylu może być przedłużona o każde kolejne 12 miesięcy u  pacjentów niespełniających kryteriów wyłączenia zgodnie z pkt. 4 i kryteriów nieskuteczności pkt. 5.1;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leczenie powinno być stosowane tak długo jak osiągana jest skuteczność kliniczna oraz nie wystąpią kryteria wyłączenia;</w:t>
            </w:r>
          </w:p>
          <w:p w:rsidR="00D50D2A" w:rsidRPr="00F00B59" w:rsidRDefault="00D50D2A" w:rsidP="00B54D75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</w:rPr>
              <w:t>po ukończeniu 18 r.ż. nie ma konieczności ponownej kwalifikacji pacjenta do programu po przeniesieniu leczenia do ośrodka dla dorosłych.</w:t>
            </w:r>
          </w:p>
        </w:tc>
        <w:tc>
          <w:tcPr>
            <w:tcW w:w="1552" w:type="pct"/>
          </w:tcPr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Dawkowanie interferonu beta: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Dawkowanie u osób dorosłych: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Dawka należna wynosi w przypadku: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interferonu beta-1a -30 µg domięśniowo w  zależności od tolerancji 1 raz w tygodniu;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interferonu beta-1a – 44 µg podskórnie w zależności od tolerancji 3 razy w tygodniu;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interferonu beta-1b - 250 µg  podskórnie co drugi dzień.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 zależy od Charakterystyki Produktu Leczniczego.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Dawkowanie u dzieci i młodzieży: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dzieci i młodzieży o ciężarze  ciała poniżej 30 kg leczenie należy rozpocząć od 1/4 dawki należnej dla osoby dorosłej; dawkę należną dla dzieci i młodzieży o ciężarze  ciała poniżej 30 kg (1/2 dawki należnej dla osoby dorosłej) należy osiągnąć po miesiącu leczenia;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  dzieci i młodzieży o ciężarze ciała powyżej 30 kg leczenie należy rozpocząć od 1/2 dawki należnej dla osoby dorosłej; dawkę należną równą dawce dla osoby dorosłej należy osiągnąć po miesiącu leczenia.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2. Dawkowanie octanu glatirameru: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Dla dawki 20 mg u dzieci i młodzieży oraz u osób dorosłych, zalecane dawkowanie wynosi 20 mg octanu glatirameru we wstrzyknięciu podskórnym, raz na dobę.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Dla dawki 40 mg u dorosłych zalecane dawkowanie wynosi 40 mg octanu glatirameru we wstrzyknięciu podskórnym trzy razy w tygodniu w odstępach co najmniej 48 godzin.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 Dawkowanie fumaranu dimetylu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 Dawka początkowa wynosi 120 mg dwa razy dziennie. Po 7 dniach dawkę należy zwiększyć do dawki zalecanej, czyli 240 mg dwa razy dziennie. Jest możliwe tymczasowe zmniejszenie dawki do 120 mg dwa razy dziennie w celu ograniczenia  występowania działań niepożądanych. Po upływie miesiąca należy wznowić stosowanie dawki zalecanej, czyli 240 mg dwa razy dziennie.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Dawkowanie peginterferonu beta-1a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Zalecana dawka produktu Plegridy wynosi 125 mikrogramów we wstrzyknięciu podskórnym, co 2 tygodnie (14 dni).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Zwykle zaleca się rozpoczęcie leczenia od 63 mikrogramów w pierwszej dawce (dzień 0), zwiększenie dawki do 94 mikrogramów w drugiej dawce (dzień 14.) i osiągnięcie pełnej dawki 125 mikrogramów w trzeciej dawce (dzień 28.). Pełną  dawkę (125 mikrogramów) podaje się następnie co 2 tygodnie (14 dni).</w:t>
            </w:r>
          </w:p>
        </w:tc>
        <w:tc>
          <w:tcPr>
            <w:tcW w:w="1714" w:type="pct"/>
            <w:tcBorders>
              <w:right w:val="single" w:sz="4" w:space="0" w:color="auto"/>
            </w:tcBorders>
          </w:tcPr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lastRenderedPageBreak/>
              <w:t>1. Badania przy kwalifikacji: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biochemiczne w tym oceniające: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nerek,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wątroby,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tarczycy;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ogólne moczu;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morfologia krwi z rozmazem;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rezonans magnetyczny przed  i po podaniu  kontrastu; rezonans magnetyczny wykonuje się w okresie kwalifikacji do programu. Jeżeli leczenie nie zostanie rozpoczęte w okresie 60 dni od jego wykonania to badanie powtarza się tuż przed zastosowaniem pierwszej dawki leku;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wzrokowe potencjały wywołane (WPW), jeśli wymagane podczas ustalania rozpoznania;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przypadkach wątpliwych diagnostycznie wskazane badanie białka oligoklonalnego IgG w płynie mózgowo-rdzeniowym. 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 Monitorowanie leczenia: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 xml:space="preserve">2.1 Monitorowanie leczenia interferonem beta lub octanem glatirameru: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laboratoryjne, o których mowa w ust. 1 wykonywane są: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dorosłych: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pierwsze 6 miesięcy leczenia - co 3 miesiące, 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następnie co 6 miesięcy, z wyjątkiem morfologii i parametrów wątrobowych, które wykonywane są co 3 miesiące,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dzieci i młodzieży: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pierwsze 3 miesiące – co miesiąc,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następnie co 3 miesiące;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rezonans magnetyczny przed  i po podaniu  kontrastu – po każdych 12 miesiącach leczenia;</w:t>
            </w:r>
          </w:p>
          <w:p w:rsidR="00D50D2A" w:rsidRPr="00F00B59" w:rsidRDefault="00D50D2A" w:rsidP="00B54D7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oceniające skuteczność leczenia i  umożliwiające kontynuacje leczenia w programie wykonuje się każdorazowo po 12 miesiącach leczenia.</w:t>
            </w: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2.2. Monitorowanie leczenia fumaranem dimetylu:</w:t>
            </w:r>
          </w:p>
          <w:p w:rsidR="00D50D2A" w:rsidRPr="00F00B5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badania biochemiczne oceniające:</w:t>
            </w:r>
          </w:p>
          <w:p w:rsidR="00D50D2A" w:rsidRPr="00F00B59" w:rsidRDefault="00D50D2A" w:rsidP="00B54D75">
            <w:pPr>
              <w:spacing w:line="276" w:lineRule="auto"/>
              <w:ind w:left="578" w:hanging="142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a) funkcje nerek i wątroby - po 3 i 6 miesiącach leczenia, następnie co 6 do 12 miesięcy oraz według wskazań klinicznych, </w:t>
            </w:r>
          </w:p>
          <w:p w:rsidR="00D50D2A" w:rsidRPr="00F00B59" w:rsidRDefault="00D50D2A" w:rsidP="00B54D75">
            <w:pPr>
              <w:spacing w:line="276" w:lineRule="auto"/>
              <w:ind w:left="578" w:hanging="142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b) morfologię krwi z rozmazem- co 3 miesiące leczenia</w:t>
            </w:r>
          </w:p>
          <w:p w:rsidR="00D50D2A" w:rsidRPr="00F00B59" w:rsidRDefault="00D50D2A" w:rsidP="00B54D75">
            <w:pPr>
              <w:spacing w:line="276" w:lineRule="auto"/>
              <w:ind w:left="578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U pacjentów, u których liczba limfocytów będzie utrzymywała się na poziomie poniżej 500/ µl  przez ponad 6 miesięcy, należy ponownie rozważyć bilans korzyści i ryzyka w tym wziąć pod uwagę przerwanie leczenia.</w:t>
            </w:r>
          </w:p>
          <w:p w:rsidR="00D50D2A" w:rsidRPr="00F00B5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rezonans magnetyczny przed i po podaniu  kontrastu – po każdych 12 miesiącach leczenia;</w:t>
            </w:r>
          </w:p>
          <w:p w:rsidR="00D50D2A" w:rsidRPr="00F00B5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badania oceniające skuteczność leczenia i umożliwiające kontynuacje leczenia w programie wykonuje się każdorazowo po 12 miesiącach leczenia</w:t>
            </w: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2.3 Monitorowanie leczenia peginterferonem  beta-1a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badania laboratoryjne, o których mowa w ust. 1 wykonywane są: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4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przez pierwsze 6 miesięcy leczenia - co 3 miesiące, </w:t>
            </w:r>
          </w:p>
          <w:p w:rsidR="00D50D2A" w:rsidRPr="00F00B59" w:rsidRDefault="00D50D2A" w:rsidP="00B54D75">
            <w:pPr>
              <w:spacing w:line="276" w:lineRule="auto"/>
              <w:ind w:left="436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lastRenderedPageBreak/>
              <w:t>- następnie co 6 miesięcy, z wyjątkiem morfologii i parametrów wątrobowych, które wykonywane są co 3 miesiące</w:t>
            </w:r>
          </w:p>
          <w:p w:rsidR="00D50D2A" w:rsidRPr="00F00B59" w:rsidRDefault="00D50D2A" w:rsidP="00B54D75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rezonans magnetyczny przed  i po podaniu  kontrastu – po każdych 12 miesiącach leczenia;</w:t>
            </w:r>
          </w:p>
          <w:p w:rsidR="00D50D2A" w:rsidRPr="00F00B59" w:rsidRDefault="00D50D2A" w:rsidP="00B54D75">
            <w:pPr>
              <w:spacing w:line="276" w:lineRule="auto"/>
              <w:ind w:left="436" w:hanging="425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3)</w:t>
            </w:r>
            <w:r w:rsidRPr="00F00B59">
              <w:rPr>
                <w:rFonts w:ascii="Times New Roman" w:hAnsi="Times New Roman"/>
                <w:b/>
              </w:rPr>
              <w:t xml:space="preserve"> </w:t>
            </w:r>
            <w:r w:rsidRPr="00F00B59">
              <w:rPr>
                <w:rFonts w:ascii="Times New Roman" w:hAnsi="Times New Roman"/>
              </w:rPr>
              <w:t>badania oceniające skuteczność leczenia i umożliwiające kontynuacje leczenia w programie wykonuje się każdorazowo po 12 miesiącach leczenia</w:t>
            </w: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3. Monitorowanie programu:</w:t>
            </w:r>
          </w:p>
          <w:p w:rsidR="00D50D2A" w:rsidRPr="00F00B59" w:rsidRDefault="00D50D2A" w:rsidP="00B54D7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gromadzenie w dokumentacji medycznej pacjenta danych dotyczących monitorowania leczenia i  każdorazowe ich przedstawianie na żądanie kontrolerów  Narodowego Funduszu Zdrowia;</w:t>
            </w:r>
          </w:p>
          <w:p w:rsidR="00D50D2A" w:rsidRPr="00F00B59" w:rsidRDefault="00D50D2A" w:rsidP="00B54D7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D50D2A" w:rsidRPr="00F00B59" w:rsidRDefault="00D50D2A" w:rsidP="00B54D7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przekazywanie informacji sprawozdawczo-rozliczeniowych do NFZ: informacje przekazuje się do  NFZ w formie papierowej lub w formie elektronicznej, zgodnie z wymaganiami opublikowanymi przez Narodowy Fundusz Zdrowia.</w:t>
            </w: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</w:rPr>
            </w:pPr>
          </w:p>
          <w:p w:rsidR="00D50D2A" w:rsidRPr="00F00B59" w:rsidRDefault="00D50D2A" w:rsidP="00B54D7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D50D2A" w:rsidRPr="00F00B59" w:rsidRDefault="00D50D2A" w:rsidP="00D50D2A">
      <w:pPr>
        <w:rPr>
          <w:rFonts w:ascii="Times New Roman" w:hAnsi="Times New Roman"/>
          <w:b/>
          <w:sz w:val="28"/>
          <w:szCs w:val="28"/>
        </w:rPr>
      </w:pPr>
    </w:p>
    <w:p w:rsidR="00D50D2A" w:rsidRPr="00F00B59" w:rsidRDefault="00D50D2A" w:rsidP="00D50D2A">
      <w:pPr>
        <w:rPr>
          <w:rFonts w:ascii="Times New Roman" w:hAnsi="Times New Roman"/>
        </w:rPr>
      </w:pPr>
    </w:p>
    <w:p w:rsidR="00B22192" w:rsidRPr="00D50D2A" w:rsidRDefault="00B22192" w:rsidP="00D50D2A"/>
    <w:sectPr w:rsidR="00B22192" w:rsidRPr="00D50D2A" w:rsidSect="00F00B5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7EA"/>
    <w:multiLevelType w:val="hybridMultilevel"/>
    <w:tmpl w:val="4DF29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E65AB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D5521"/>
    <w:multiLevelType w:val="hybridMultilevel"/>
    <w:tmpl w:val="302C76D6"/>
    <w:lvl w:ilvl="0" w:tplc="5E566C3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0E0A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5A7"/>
    <w:multiLevelType w:val="hybridMultilevel"/>
    <w:tmpl w:val="357A175A"/>
    <w:lvl w:ilvl="0" w:tplc="935CC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26F41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A17B1"/>
    <w:multiLevelType w:val="hybridMultilevel"/>
    <w:tmpl w:val="9FC83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3231A"/>
    <w:multiLevelType w:val="hybridMultilevel"/>
    <w:tmpl w:val="C9263112"/>
    <w:lvl w:ilvl="0" w:tplc="C7AE1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DB3C4D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6816"/>
    <w:multiLevelType w:val="hybridMultilevel"/>
    <w:tmpl w:val="DB002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E7891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416E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4C24"/>
    <w:multiLevelType w:val="hybridMultilevel"/>
    <w:tmpl w:val="AE2E9E0E"/>
    <w:lvl w:ilvl="0" w:tplc="C7AE1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537A7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97907"/>
    <w:multiLevelType w:val="hybridMultilevel"/>
    <w:tmpl w:val="3BACA2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05325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A333F2A"/>
    <w:multiLevelType w:val="hybridMultilevel"/>
    <w:tmpl w:val="CFD85082"/>
    <w:lvl w:ilvl="0" w:tplc="FC76FA0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96F1C"/>
    <w:multiLevelType w:val="hybridMultilevel"/>
    <w:tmpl w:val="40A21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9031C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9B5778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B46B9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16399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CC458A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6F3234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69660F"/>
    <w:multiLevelType w:val="hybridMultilevel"/>
    <w:tmpl w:val="40A21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040C8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7C4E"/>
    <w:multiLevelType w:val="hybridMultilevel"/>
    <w:tmpl w:val="14567C10"/>
    <w:lvl w:ilvl="0" w:tplc="BDCCA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696838"/>
    <w:multiLevelType w:val="hybridMultilevel"/>
    <w:tmpl w:val="08D4E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C650CF"/>
    <w:multiLevelType w:val="hybridMultilevel"/>
    <w:tmpl w:val="E312B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23"/>
  </w:num>
  <w:num w:numId="6">
    <w:abstractNumId w:val="0"/>
  </w:num>
  <w:num w:numId="7">
    <w:abstractNumId w:val="27"/>
  </w:num>
  <w:num w:numId="8">
    <w:abstractNumId w:val="24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28"/>
  </w:num>
  <w:num w:numId="14">
    <w:abstractNumId w:val="6"/>
  </w:num>
  <w:num w:numId="15">
    <w:abstractNumId w:val="11"/>
  </w:num>
  <w:num w:numId="16">
    <w:abstractNumId w:val="20"/>
  </w:num>
  <w:num w:numId="17">
    <w:abstractNumId w:val="8"/>
  </w:num>
  <w:num w:numId="18">
    <w:abstractNumId w:val="19"/>
  </w:num>
  <w:num w:numId="19">
    <w:abstractNumId w:val="25"/>
  </w:num>
  <w:num w:numId="20">
    <w:abstractNumId w:val="22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21"/>
  </w:num>
  <w:num w:numId="27">
    <w:abstractNumId w:val="12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0D2A"/>
    <w:rsid w:val="003F355D"/>
    <w:rsid w:val="00553248"/>
    <w:rsid w:val="00703957"/>
    <w:rsid w:val="00B22192"/>
    <w:rsid w:val="00D5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2016-12-01T21:25:00Z</dcterms:created>
  <dcterms:modified xsi:type="dcterms:W3CDTF">2016-12-01T21:25:00Z</dcterms:modified>
</cp:coreProperties>
</file>